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A72CB6">
      <w:pPr>
        <w:rPr>
          <w:b/>
          <w:sz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60.35pt;width:109.75pt;height:94.05pt;z-index:-251620352">
            <v:imagedata r:id="rId8" o:title=""/>
          </v:shape>
          <o:OLEObject Type="Embed" ProgID="Paint.Picture" ShapeID="_x0000_s1026" DrawAspect="Content" ObjectID="_1651996039" r:id="rId9"/>
        </w:pict>
      </w:r>
      <w:r w:rsidR="00ED509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in </w:t>
      </w:r>
      <w:bookmarkStart w:id="0" w:name="_GoBack"/>
      <w:bookmarkEnd w:id="0"/>
      <w:r w:rsidR="009D2128">
        <w:rPr>
          <w:rFonts w:cstheme="minorHAnsi"/>
          <w:b/>
          <w:color w:val="000099"/>
          <w:sz w:val="26"/>
          <w:szCs w:val="28"/>
        </w:rPr>
        <w:t>Rheumatoid A</w:t>
      </w:r>
      <w:r w:rsidR="009D2128" w:rsidRPr="009D2128">
        <w:rPr>
          <w:rFonts w:cstheme="minorHAnsi"/>
          <w:b/>
          <w:color w:val="000099"/>
          <w:sz w:val="26"/>
          <w:szCs w:val="28"/>
        </w:rPr>
        <w:t xml:space="preserve">rthritis </w:t>
      </w:r>
      <w:r w:rsidRPr="00DC6F99">
        <w:rPr>
          <w:rFonts w:cstheme="minorHAnsi"/>
          <w:b/>
          <w:color w:val="000099"/>
          <w:sz w:val="26"/>
          <w:szCs w:val="28"/>
        </w:rPr>
        <w:t xml:space="preserve">from Depression 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D509A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psychology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250D8B">
        <w:rPr>
          <w:rStyle w:val="A3"/>
          <w:rFonts w:ascii="Calibri" w:hAnsi="Calibri" w:cs="Calibri"/>
          <w:sz w:val="24"/>
          <w:szCs w:val="24"/>
        </w:rPr>
        <w:t xml:space="preserve"> </w:t>
      </w:r>
      <w:r w:rsidR="00B83986" w:rsidRPr="00683087">
        <w:rPr>
          <w:rStyle w:val="A3"/>
          <w:rFonts w:ascii="Calibri" w:hAnsi="Calibri" w:cs="Calibri"/>
          <w:sz w:val="24"/>
          <w:szCs w:val="24"/>
        </w:rPr>
        <w:t>Silver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CB54CE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872D2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123190</wp:posOffset>
            </wp:positionV>
            <wp:extent cx="3206750" cy="2508885"/>
            <wp:effectExtent l="57150" t="19050" r="31750" b="628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50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394EEE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9D2128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EB4DCA" w:rsidRDefault="00EB4DCA">
      <w:pPr>
        <w:rPr>
          <w:sz w:val="24"/>
          <w:szCs w:val="24"/>
        </w:rPr>
      </w:pPr>
    </w:p>
    <w:p w:rsidR="00C50564" w:rsidRDefault="00C50564">
      <w:pPr>
        <w:rPr>
          <w:sz w:val="24"/>
          <w:szCs w:val="24"/>
        </w:rPr>
      </w:pPr>
    </w:p>
    <w:p w:rsidR="00C50564" w:rsidRPr="00683087" w:rsidRDefault="00C50564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A71773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415BDC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1" layoutInCell="0" allowOverlap="1">
            <wp:simplePos x="0" y="0"/>
            <wp:positionH relativeFrom="column">
              <wp:posOffset>4525010</wp:posOffset>
            </wp:positionH>
            <wp:positionV relativeFrom="paragraph">
              <wp:posOffset>-182880</wp:posOffset>
            </wp:positionV>
            <wp:extent cx="952500" cy="742950"/>
            <wp:effectExtent l="19050" t="0" r="0" b="0"/>
            <wp:wrapThrough wrapText="bothSides">
              <wp:wrapPolygon edited="0">
                <wp:start x="-432" y="0"/>
                <wp:lineTo x="-432" y="21046"/>
                <wp:lineTo x="21600" y="21046"/>
                <wp:lineTo x="21600" y="0"/>
                <wp:lineTo x="-432" y="0"/>
              </wp:wrapPolygon>
            </wp:wrapThrough>
            <wp:docPr id="7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>
      <w:pPr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>
      <w:pPr>
        <w:rPr>
          <w:sz w:val="24"/>
        </w:rPr>
      </w:pPr>
    </w:p>
    <w:p w:rsidR="005D3B09" w:rsidRPr="00683087" w:rsidRDefault="00A71773">
      <w:pPr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890739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anonymised</w:t>
      </w:r>
      <w:r w:rsidR="00F664CC">
        <w:rPr>
          <w:rFonts w:cstheme="minorHAnsi"/>
          <w:sz w:val="24"/>
          <w:szCs w:val="24"/>
        </w:rPr>
        <w:t>.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84699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>answer that you have</w:t>
      </w:r>
      <w:r w:rsidR="00D4274A">
        <w:rPr>
          <w:rFonts w:cstheme="minorHAnsi"/>
          <w:sz w:val="24"/>
          <w:szCs w:val="24"/>
        </w:rPr>
        <w:t>,</w:t>
      </w:r>
      <w:r w:rsidR="009D2128">
        <w:rPr>
          <w:rFonts w:cstheme="minorHAnsi"/>
          <w:sz w:val="24"/>
          <w:szCs w:val="24"/>
        </w:rPr>
        <w:t xml:space="preserve"> </w:t>
      </w:r>
      <w:r w:rsidR="003F3C82" w:rsidRPr="00683087">
        <w:rPr>
          <w:rFonts w:cstheme="minorHAnsi"/>
          <w:sz w:val="24"/>
          <w:szCs w:val="24"/>
        </w:rPr>
        <w:t xml:space="preserve">your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C50564" w:rsidRDefault="00C50564">
      <w:pPr>
        <w:rPr>
          <w:rFonts w:cstheme="minorHAnsi"/>
          <w:sz w:val="24"/>
          <w:szCs w:val="24"/>
        </w:rPr>
      </w:pPr>
    </w:p>
    <w:p w:rsidR="009127A9" w:rsidRPr="00DC6F99" w:rsidRDefault="00415BDC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5104" behindDoc="1" locked="1" layoutInCell="0" allowOverlap="1">
            <wp:simplePos x="0" y="0"/>
            <wp:positionH relativeFrom="margin">
              <wp:posOffset>5493385</wp:posOffset>
            </wp:positionH>
            <wp:positionV relativeFrom="paragraph">
              <wp:posOffset>0</wp:posOffset>
            </wp:positionV>
            <wp:extent cx="9525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68" y="21046"/>
                <wp:lineTo x="21168" y="0"/>
                <wp:lineTo x="0" y="0"/>
              </wp:wrapPolygon>
            </wp:wrapThrough>
            <wp:docPr id="9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Space in </w:t>
      </w:r>
      <w:r w:rsidR="009D2128">
        <w:rPr>
          <w:rFonts w:cstheme="minorHAnsi"/>
          <w:b/>
          <w:color w:val="000099"/>
          <w:sz w:val="26"/>
          <w:szCs w:val="28"/>
        </w:rPr>
        <w:t>Rheumatoid Arthritis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from Depression</w:t>
      </w:r>
      <w:r w:rsidR="009D2128">
        <w:rPr>
          <w:rFonts w:cstheme="minorHAnsi"/>
          <w:b/>
          <w:color w:val="000099"/>
          <w:sz w:val="26"/>
          <w:szCs w:val="28"/>
        </w:rPr>
        <w:t xml:space="preserve"> </w:t>
      </w:r>
      <w:r w:rsidR="00C50564">
        <w:rPr>
          <w:rFonts w:cstheme="minorHAnsi"/>
          <w:b/>
          <w:color w:val="000099"/>
          <w:sz w:val="26"/>
          <w:szCs w:val="28"/>
        </w:rPr>
        <w:t>–</w:t>
      </w:r>
      <w:r w:rsidR="008B5B60">
        <w:rPr>
          <w:rFonts w:cstheme="minorHAnsi"/>
          <w:b/>
          <w:color w:val="000099"/>
          <w:sz w:val="26"/>
          <w:szCs w:val="28"/>
        </w:rPr>
        <w:t xml:space="preserve"> 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C50564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 xml:space="preserve">This short module is a stepping stone to introduce you to the programme.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9D2128">
        <w:t>Rheumatoid Arthritis</w:t>
      </w:r>
      <w:r w:rsidRPr="003A444A">
        <w:t xml:space="preserve">, and introduces some of the key ideas of the programme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Understanding </w:t>
      </w:r>
      <w:r w:rsidR="009D2128">
        <w:rPr>
          <w:b/>
        </w:rPr>
        <w:t>Emotions</w:t>
      </w:r>
      <w:r w:rsidRPr="003A444A">
        <w:rPr>
          <w:b/>
        </w:rPr>
        <w:t xml:space="preserve"> </w:t>
      </w:r>
      <w:r w:rsidR="00DC6F99">
        <w:rPr>
          <w:b/>
        </w:rPr>
        <w:t xml:space="preserve">- </w:t>
      </w:r>
      <w:r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Boosting Behaviour </w:t>
      </w:r>
      <w:r w:rsidR="00DC6F99">
        <w:rPr>
          <w:b/>
        </w:rPr>
        <w:t xml:space="preserve">- </w:t>
      </w:r>
      <w:r w:rsidRPr="003A444A">
        <w:t xml:space="preserve">This module looks at how doing things a little differently can be a really great way to start to lift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>Spotting Thoughts</w:t>
      </w:r>
      <w:r w:rsidR="00DC6F99"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C50564" w:rsidRPr="003A444A" w:rsidRDefault="008B5B60" w:rsidP="00C50564">
      <w:pPr>
        <w:spacing w:after="160"/>
      </w:pPr>
      <w:r w:rsidRPr="00C50564">
        <w:rPr>
          <w:b/>
        </w:rPr>
        <w:t xml:space="preserve">Core Beliefs - </w:t>
      </w:r>
      <w:r w:rsidRPr="00C50564">
        <w:t>This module shows the role that deeply-held core beliefs can play in mood.</w:t>
      </w:r>
      <w:r w:rsidR="00C50564" w:rsidRPr="003A444A">
        <w:t xml:space="preserve"> </w:t>
      </w:r>
    </w:p>
    <w:p w:rsidR="00AE2021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9D2128" w:rsidRPr="003A444A" w:rsidRDefault="009D2128" w:rsidP="00DC6F99">
      <w:pPr>
        <w:spacing w:after="160"/>
      </w:pP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CC109A" w:rsidRPr="00CC109A" w:rsidRDefault="00CC109A" w:rsidP="00DC6F99">
      <w:pPr>
        <w:spacing w:after="160"/>
      </w:pPr>
      <w:r>
        <w:rPr>
          <w:b/>
        </w:rPr>
        <w:t>Challenging Times- T</w:t>
      </w:r>
      <w:r w:rsidRPr="00CC109A">
        <w:t>he scale of the COVID-19 crisis is disrupting</w:t>
      </w:r>
      <w:r>
        <w:t xml:space="preserve"> our personal and working lives</w:t>
      </w:r>
      <w:r w:rsidRPr="00CC109A">
        <w:t>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sectPr w:rsidR="00AE2021" w:rsidRPr="003A444A" w:rsidSect="002A64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86" w:rsidRDefault="005D6986" w:rsidP="009127A9">
      <w:r>
        <w:separator/>
      </w:r>
    </w:p>
  </w:endnote>
  <w:endnote w:type="continuationSeparator" w:id="0">
    <w:p w:rsidR="005D6986" w:rsidRDefault="005D6986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5D6986" w:rsidRDefault="001D2E41">
        <w:pPr>
          <w:pStyle w:val="Footer"/>
          <w:jc w:val="right"/>
        </w:pPr>
        <w:fldSimple w:instr=" PAGE   \* MERGEFORMAT ">
          <w:r w:rsidR="00A72CB6">
            <w:rPr>
              <w:noProof/>
            </w:rPr>
            <w:t>2</w:t>
          </w:r>
        </w:fldSimple>
      </w:p>
    </w:sdtContent>
  </w:sdt>
  <w:p w:rsidR="005D6986" w:rsidRPr="009127A9" w:rsidRDefault="005D6986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86" w:rsidRDefault="005D6986" w:rsidP="009127A9">
      <w:r>
        <w:separator/>
      </w:r>
    </w:p>
  </w:footnote>
  <w:footnote w:type="continuationSeparator" w:id="0">
    <w:p w:rsidR="005D6986" w:rsidRDefault="005D6986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77FDC"/>
    <w:rsid w:val="00084927"/>
    <w:rsid w:val="00087814"/>
    <w:rsid w:val="000C431E"/>
    <w:rsid w:val="000F03D2"/>
    <w:rsid w:val="001269B1"/>
    <w:rsid w:val="00182E9A"/>
    <w:rsid w:val="001850F0"/>
    <w:rsid w:val="001A507E"/>
    <w:rsid w:val="001C42F0"/>
    <w:rsid w:val="001C6FAF"/>
    <w:rsid w:val="001D2E41"/>
    <w:rsid w:val="001F0988"/>
    <w:rsid w:val="0023606F"/>
    <w:rsid w:val="00244425"/>
    <w:rsid w:val="00250D8B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15BDC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5D6986"/>
    <w:rsid w:val="00612FA6"/>
    <w:rsid w:val="00621992"/>
    <w:rsid w:val="0062425D"/>
    <w:rsid w:val="00647A6A"/>
    <w:rsid w:val="00683087"/>
    <w:rsid w:val="006862B1"/>
    <w:rsid w:val="006E0E52"/>
    <w:rsid w:val="006F4CAC"/>
    <w:rsid w:val="00752D48"/>
    <w:rsid w:val="007576A4"/>
    <w:rsid w:val="00776112"/>
    <w:rsid w:val="007A02CB"/>
    <w:rsid w:val="007D4D48"/>
    <w:rsid w:val="007D5AA9"/>
    <w:rsid w:val="00813D7E"/>
    <w:rsid w:val="00846996"/>
    <w:rsid w:val="00867EFE"/>
    <w:rsid w:val="00872D2E"/>
    <w:rsid w:val="00873846"/>
    <w:rsid w:val="00877C76"/>
    <w:rsid w:val="00890739"/>
    <w:rsid w:val="008B5B60"/>
    <w:rsid w:val="008F6095"/>
    <w:rsid w:val="009127A9"/>
    <w:rsid w:val="009215D6"/>
    <w:rsid w:val="00921D1D"/>
    <w:rsid w:val="009247CC"/>
    <w:rsid w:val="00927AB3"/>
    <w:rsid w:val="00933D56"/>
    <w:rsid w:val="00944356"/>
    <w:rsid w:val="00946EEC"/>
    <w:rsid w:val="00967B8C"/>
    <w:rsid w:val="009845F0"/>
    <w:rsid w:val="009B5D80"/>
    <w:rsid w:val="009B7129"/>
    <w:rsid w:val="009C3FAF"/>
    <w:rsid w:val="009C49DD"/>
    <w:rsid w:val="009C5BE9"/>
    <w:rsid w:val="009D2128"/>
    <w:rsid w:val="009E3F30"/>
    <w:rsid w:val="009F010D"/>
    <w:rsid w:val="009F3702"/>
    <w:rsid w:val="00A3475D"/>
    <w:rsid w:val="00A450D7"/>
    <w:rsid w:val="00A620CA"/>
    <w:rsid w:val="00A71773"/>
    <w:rsid w:val="00A72CB6"/>
    <w:rsid w:val="00AE2021"/>
    <w:rsid w:val="00AE7A82"/>
    <w:rsid w:val="00B009B3"/>
    <w:rsid w:val="00B160CE"/>
    <w:rsid w:val="00B20CCB"/>
    <w:rsid w:val="00B41F23"/>
    <w:rsid w:val="00B74B30"/>
    <w:rsid w:val="00B83986"/>
    <w:rsid w:val="00BB1818"/>
    <w:rsid w:val="00BD7F7F"/>
    <w:rsid w:val="00C50564"/>
    <w:rsid w:val="00C62797"/>
    <w:rsid w:val="00C756EE"/>
    <w:rsid w:val="00C83AD8"/>
    <w:rsid w:val="00CB0EBE"/>
    <w:rsid w:val="00CB21BF"/>
    <w:rsid w:val="00CB54CE"/>
    <w:rsid w:val="00CC109A"/>
    <w:rsid w:val="00CC5788"/>
    <w:rsid w:val="00CD5AE2"/>
    <w:rsid w:val="00CF3A91"/>
    <w:rsid w:val="00D15196"/>
    <w:rsid w:val="00D2022C"/>
    <w:rsid w:val="00D3144D"/>
    <w:rsid w:val="00D4274A"/>
    <w:rsid w:val="00D63808"/>
    <w:rsid w:val="00DC6F99"/>
    <w:rsid w:val="00DE07EB"/>
    <w:rsid w:val="00DE4A0C"/>
    <w:rsid w:val="00E21148"/>
    <w:rsid w:val="00E30393"/>
    <w:rsid w:val="00E36954"/>
    <w:rsid w:val="00E41312"/>
    <w:rsid w:val="00E8452D"/>
    <w:rsid w:val="00EB4DCA"/>
    <w:rsid w:val="00ED509A"/>
    <w:rsid w:val="00F318A6"/>
    <w:rsid w:val="00F553B7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0A8FC-CCFC-4AEC-AD09-8F23F2B6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3</cp:revision>
  <cp:lastPrinted>2014-09-24T08:10:00Z</cp:lastPrinted>
  <dcterms:created xsi:type="dcterms:W3CDTF">2020-05-26T09:54:00Z</dcterms:created>
  <dcterms:modified xsi:type="dcterms:W3CDTF">2020-05-26T10:01:00Z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